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12" w:rsidRDefault="005C5212" w:rsidP="009E192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TL 17</w:t>
      </w:r>
    </w:p>
    <w:p w:rsidR="009E1925" w:rsidRDefault="00441504" w:rsidP="009E1925">
      <w:pPr>
        <w:spacing w:after="0" w:line="240" w:lineRule="auto"/>
        <w:jc w:val="both"/>
        <w:rPr>
          <w:rFonts w:ascii="Times New Roman" w:eastAsia="Times New Roman" w:hAnsi="Times New Roman" w:cs="Times New Roman"/>
          <w:vertAlign w:val="superscript"/>
        </w:rPr>
      </w:pPr>
      <w:r w:rsidRPr="009E1925">
        <w:rPr>
          <w:rFonts w:ascii="Times New Roman" w:eastAsia="Times New Roman" w:hAnsi="Times New Roman" w:cs="Times New Roman"/>
          <w:b/>
          <w:bCs/>
        </w:rPr>
        <w:t>INFECCIÓN POR ADENOVIRUS 36 AUMENTA EL RIESGO DE OBESIDAD EN POBLACIÓN CHILENA Y MODULA EXPRESIÓN DE MIRNAS IMPLICADOS EN EL PROCESO ADIPOGÉNICO EN TEJIDO ADIPOSO VISCERAL</w:t>
      </w:r>
      <w:r w:rsidRPr="009E1925">
        <w:rPr>
          <w:rFonts w:ascii="Times New Roman" w:eastAsia="Times New Roman" w:hAnsi="Times New Roman" w:cs="Times New Roman"/>
        </w:rPr>
        <w:br/>
      </w:r>
      <w:r w:rsidR="009E1925" w:rsidRPr="009E1925">
        <w:rPr>
          <w:rFonts w:ascii="Times New Roman" w:eastAsia="Times New Roman" w:hAnsi="Times New Roman" w:cs="Times New Roman"/>
        </w:rPr>
        <w:t>Á</w:t>
      </w:r>
      <w:r w:rsidR="009E1925">
        <w:rPr>
          <w:rFonts w:ascii="Times New Roman" w:eastAsia="Times New Roman" w:hAnsi="Times New Roman" w:cs="Times New Roman"/>
        </w:rPr>
        <w:t>lvaro Cerda</w:t>
      </w:r>
      <w:r w:rsidRPr="009E1925">
        <w:rPr>
          <w:rFonts w:ascii="Times New Roman" w:eastAsia="Times New Roman" w:hAnsi="Times New Roman" w:cs="Times New Roman"/>
          <w:vertAlign w:val="superscript"/>
        </w:rPr>
        <w:t>1</w:t>
      </w:r>
      <w:r w:rsidRPr="009E1925">
        <w:rPr>
          <w:rFonts w:ascii="Times New Roman" w:eastAsia="Times New Roman" w:hAnsi="Times New Roman" w:cs="Times New Roman"/>
        </w:rPr>
        <w:t>, Luis Fonseca</w:t>
      </w:r>
      <w:r w:rsidRPr="009E1925">
        <w:rPr>
          <w:rFonts w:ascii="Times New Roman" w:eastAsia="Times New Roman" w:hAnsi="Times New Roman" w:cs="Times New Roman"/>
          <w:vertAlign w:val="superscript"/>
        </w:rPr>
        <w:t>3</w:t>
      </w:r>
      <w:r w:rsidRPr="009E1925">
        <w:rPr>
          <w:rFonts w:ascii="Times New Roman" w:eastAsia="Times New Roman" w:hAnsi="Times New Roman" w:cs="Times New Roman"/>
        </w:rPr>
        <w:t xml:space="preserve">, </w:t>
      </w:r>
      <w:r w:rsidR="009E1925" w:rsidRPr="009E1925">
        <w:rPr>
          <w:rFonts w:ascii="Times New Roman" w:eastAsia="Times New Roman" w:hAnsi="Times New Roman" w:cs="Times New Roman"/>
        </w:rPr>
        <w:t>Víctor</w:t>
      </w:r>
      <w:r w:rsidRPr="009E1925">
        <w:rPr>
          <w:rFonts w:ascii="Times New Roman" w:eastAsia="Times New Roman" w:hAnsi="Times New Roman" w:cs="Times New Roman"/>
        </w:rPr>
        <w:t xml:space="preserve"> Molina</w:t>
      </w:r>
      <w:r w:rsidRPr="009E1925">
        <w:rPr>
          <w:rFonts w:ascii="Times New Roman" w:eastAsia="Times New Roman" w:hAnsi="Times New Roman" w:cs="Times New Roman"/>
          <w:vertAlign w:val="superscript"/>
        </w:rPr>
        <w:t>3</w:t>
      </w:r>
      <w:r w:rsidRPr="009E1925">
        <w:rPr>
          <w:rFonts w:ascii="Times New Roman" w:eastAsia="Times New Roman" w:hAnsi="Times New Roman" w:cs="Times New Roman"/>
        </w:rPr>
        <w:t>, E</w:t>
      </w:r>
      <w:r w:rsidR="009E1925">
        <w:rPr>
          <w:rFonts w:ascii="Times New Roman" w:eastAsia="Times New Roman" w:hAnsi="Times New Roman" w:cs="Times New Roman"/>
        </w:rPr>
        <w:t>ugenia Ortiz</w:t>
      </w:r>
      <w:r w:rsidRPr="009E1925">
        <w:rPr>
          <w:rFonts w:ascii="Times New Roman" w:eastAsia="Times New Roman" w:hAnsi="Times New Roman" w:cs="Times New Roman"/>
          <w:vertAlign w:val="superscript"/>
        </w:rPr>
        <w:t>3</w:t>
      </w:r>
      <w:r w:rsidRPr="009E1925">
        <w:rPr>
          <w:rFonts w:ascii="Times New Roman" w:eastAsia="Times New Roman" w:hAnsi="Times New Roman" w:cs="Times New Roman"/>
        </w:rPr>
        <w:t>, M</w:t>
      </w:r>
      <w:r w:rsidR="009E1925">
        <w:rPr>
          <w:rFonts w:ascii="Times New Roman" w:eastAsia="Times New Roman" w:hAnsi="Times New Roman" w:cs="Times New Roman"/>
        </w:rPr>
        <w:t>aría Barra</w:t>
      </w:r>
      <w:r w:rsidRPr="009E1925">
        <w:rPr>
          <w:rFonts w:ascii="Times New Roman" w:eastAsia="Times New Roman" w:hAnsi="Times New Roman" w:cs="Times New Roman"/>
          <w:vertAlign w:val="superscript"/>
        </w:rPr>
        <w:t>2</w:t>
      </w:r>
      <w:r w:rsidRPr="009E1925">
        <w:rPr>
          <w:rFonts w:ascii="Times New Roman" w:eastAsia="Times New Roman" w:hAnsi="Times New Roman" w:cs="Times New Roman"/>
        </w:rPr>
        <w:t>, Camila Reymer</w:t>
      </w:r>
      <w:r w:rsidRPr="009E1925">
        <w:rPr>
          <w:rFonts w:ascii="Times New Roman" w:eastAsia="Times New Roman" w:hAnsi="Times New Roman" w:cs="Times New Roman"/>
          <w:vertAlign w:val="superscript"/>
        </w:rPr>
        <w:t>2</w:t>
      </w:r>
      <w:r w:rsidRPr="009E1925">
        <w:rPr>
          <w:rFonts w:ascii="Times New Roman" w:eastAsia="Times New Roman" w:hAnsi="Times New Roman" w:cs="Times New Roman"/>
        </w:rPr>
        <w:t>, Maria Charles</w:t>
      </w:r>
      <w:r w:rsidRPr="009E1925">
        <w:rPr>
          <w:rFonts w:ascii="Times New Roman" w:eastAsia="Times New Roman" w:hAnsi="Times New Roman" w:cs="Times New Roman"/>
          <w:vertAlign w:val="superscript"/>
        </w:rPr>
        <w:t>3</w:t>
      </w:r>
      <w:r w:rsidRPr="009E1925">
        <w:rPr>
          <w:rFonts w:ascii="Times New Roman" w:eastAsia="Times New Roman" w:hAnsi="Times New Roman" w:cs="Times New Roman"/>
        </w:rPr>
        <w:t>, Constance Schneider</w:t>
      </w:r>
      <w:r w:rsidRPr="009E1925">
        <w:rPr>
          <w:rFonts w:ascii="Times New Roman" w:eastAsia="Times New Roman" w:hAnsi="Times New Roman" w:cs="Times New Roman"/>
          <w:vertAlign w:val="superscript"/>
        </w:rPr>
        <w:t>3</w:t>
      </w:r>
      <w:r w:rsidRPr="009E1925">
        <w:rPr>
          <w:rFonts w:ascii="Times New Roman" w:eastAsia="Times New Roman" w:hAnsi="Times New Roman" w:cs="Times New Roman"/>
        </w:rPr>
        <w:t>, Manuel Ortiz</w:t>
      </w:r>
      <w:r w:rsidRPr="009E1925">
        <w:rPr>
          <w:rFonts w:ascii="Times New Roman" w:eastAsia="Times New Roman" w:hAnsi="Times New Roman" w:cs="Times New Roman"/>
          <w:vertAlign w:val="superscript"/>
        </w:rPr>
        <w:t>4</w:t>
      </w:r>
      <w:r w:rsidRPr="009E1925">
        <w:rPr>
          <w:rFonts w:ascii="Times New Roman" w:eastAsia="Times New Roman" w:hAnsi="Times New Roman" w:cs="Times New Roman"/>
        </w:rPr>
        <w:t>, R</w:t>
      </w:r>
      <w:r w:rsidR="009E1925">
        <w:rPr>
          <w:rFonts w:ascii="Times New Roman" w:eastAsia="Times New Roman" w:hAnsi="Times New Roman" w:cs="Times New Roman"/>
        </w:rPr>
        <w:t>oberto Brito</w:t>
      </w:r>
      <w:r w:rsidRPr="009E1925">
        <w:rPr>
          <w:rFonts w:ascii="Times New Roman" w:eastAsia="Times New Roman" w:hAnsi="Times New Roman" w:cs="Times New Roman"/>
          <w:vertAlign w:val="superscript"/>
        </w:rPr>
        <w:t>1</w:t>
      </w:r>
      <w:r w:rsidRPr="009E1925">
        <w:rPr>
          <w:rFonts w:ascii="Times New Roman" w:eastAsia="Times New Roman" w:hAnsi="Times New Roman" w:cs="Times New Roman"/>
        </w:rPr>
        <w:t>, V</w:t>
      </w:r>
      <w:r w:rsidR="009E1925">
        <w:rPr>
          <w:rFonts w:ascii="Times New Roman" w:eastAsia="Times New Roman" w:hAnsi="Times New Roman" w:cs="Times New Roman"/>
        </w:rPr>
        <w:t>íctor Manríquez</w:t>
      </w:r>
      <w:r w:rsidRPr="009E1925">
        <w:rPr>
          <w:rFonts w:ascii="Times New Roman" w:eastAsia="Times New Roman" w:hAnsi="Times New Roman" w:cs="Times New Roman"/>
          <w:vertAlign w:val="superscript"/>
        </w:rPr>
        <w:t>1</w:t>
      </w:r>
      <w:r w:rsidRPr="009E1925">
        <w:rPr>
          <w:rFonts w:ascii="Times New Roman" w:eastAsia="Times New Roman" w:hAnsi="Times New Roman" w:cs="Times New Roman"/>
        </w:rPr>
        <w:t xml:space="preserve">, </w:t>
      </w:r>
      <w:r w:rsidR="009E1925" w:rsidRPr="009E1925">
        <w:rPr>
          <w:rFonts w:ascii="Times New Roman" w:eastAsia="Times New Roman" w:hAnsi="Times New Roman" w:cs="Times New Roman"/>
        </w:rPr>
        <w:t>Mónica</w:t>
      </w:r>
      <w:r w:rsidRPr="009E1925">
        <w:rPr>
          <w:rFonts w:ascii="Times New Roman" w:eastAsia="Times New Roman" w:hAnsi="Times New Roman" w:cs="Times New Roman"/>
        </w:rPr>
        <w:t xml:space="preserve"> Pavez</w:t>
      </w:r>
      <w:r w:rsidRPr="009E1925">
        <w:rPr>
          <w:rFonts w:ascii="Times New Roman" w:eastAsia="Times New Roman" w:hAnsi="Times New Roman" w:cs="Times New Roman"/>
          <w:vertAlign w:val="superscript"/>
        </w:rPr>
        <w:t>1</w:t>
      </w:r>
      <w:r w:rsidRPr="009E1925">
        <w:rPr>
          <w:rFonts w:ascii="Times New Roman" w:eastAsia="Times New Roman" w:hAnsi="Times New Roman" w:cs="Times New Roman"/>
        </w:rPr>
        <w:t>, Jorge Sapunar</w:t>
      </w:r>
      <w:r w:rsidRPr="009E1925">
        <w:rPr>
          <w:rFonts w:ascii="Times New Roman" w:eastAsia="Times New Roman" w:hAnsi="Times New Roman" w:cs="Times New Roman"/>
          <w:vertAlign w:val="superscript"/>
        </w:rPr>
        <w:t>1</w:t>
      </w:r>
    </w:p>
    <w:p w:rsidR="009E1925" w:rsidRDefault="00441504" w:rsidP="009E1925">
      <w:pPr>
        <w:spacing w:after="0" w:line="240" w:lineRule="auto"/>
        <w:jc w:val="both"/>
        <w:rPr>
          <w:rFonts w:ascii="Times New Roman" w:eastAsia="Times New Roman" w:hAnsi="Times New Roman" w:cs="Times New Roman"/>
        </w:rPr>
      </w:pPr>
      <w:r w:rsidRPr="009E1925">
        <w:rPr>
          <w:rFonts w:ascii="Times New Roman" w:eastAsia="Times New Roman" w:hAnsi="Times New Roman" w:cs="Times New Roman"/>
          <w:vertAlign w:val="superscript"/>
        </w:rPr>
        <w:t>1</w:t>
      </w:r>
      <w:r w:rsidRPr="009E1925">
        <w:rPr>
          <w:rFonts w:ascii="Times New Roman" w:eastAsia="Times New Roman" w:hAnsi="Times New Roman" w:cs="Times New Roman"/>
        </w:rPr>
        <w:t xml:space="preserve">Centro de Excelencia en Medicina Traslacional, Universidad de La Frontera, </w:t>
      </w:r>
      <w:r w:rsidRPr="009E1925">
        <w:rPr>
          <w:rFonts w:ascii="Times New Roman" w:eastAsia="Times New Roman" w:hAnsi="Times New Roman" w:cs="Times New Roman"/>
          <w:vertAlign w:val="superscript"/>
        </w:rPr>
        <w:t>2</w:t>
      </w:r>
      <w:r w:rsidRPr="009E1925">
        <w:rPr>
          <w:rFonts w:ascii="Times New Roman" w:eastAsia="Times New Roman" w:hAnsi="Times New Roman" w:cs="Times New Roman"/>
        </w:rPr>
        <w:t xml:space="preserve">Becada de Medicina Interna, Universidad de La Frontera, </w:t>
      </w:r>
      <w:r w:rsidRPr="009E1925">
        <w:rPr>
          <w:rFonts w:ascii="Times New Roman" w:eastAsia="Times New Roman" w:hAnsi="Times New Roman" w:cs="Times New Roman"/>
          <w:vertAlign w:val="superscript"/>
        </w:rPr>
        <w:t>3</w:t>
      </w:r>
      <w:r w:rsidRPr="009E1925">
        <w:rPr>
          <w:rFonts w:ascii="Times New Roman" w:eastAsia="Times New Roman" w:hAnsi="Times New Roman" w:cs="Times New Roman"/>
        </w:rPr>
        <w:t xml:space="preserve">Centro de Tratamiento de la Obesidad, Clínica Alemana de Temuco., </w:t>
      </w:r>
      <w:r w:rsidRPr="009E1925">
        <w:rPr>
          <w:rFonts w:ascii="Times New Roman" w:eastAsia="Times New Roman" w:hAnsi="Times New Roman" w:cs="Times New Roman"/>
          <w:vertAlign w:val="superscript"/>
        </w:rPr>
        <w:t>4</w:t>
      </w:r>
      <w:r w:rsidRPr="009E1925">
        <w:rPr>
          <w:rFonts w:ascii="Times New Roman" w:eastAsia="Times New Roman" w:hAnsi="Times New Roman" w:cs="Times New Roman"/>
        </w:rPr>
        <w:t>Centro de Investigación en Epidemiología Cardiovascular y Nutricional (EPICYN), Universidad de La Frontera</w:t>
      </w:r>
    </w:p>
    <w:p w:rsidR="003C1416" w:rsidRPr="009E1925" w:rsidRDefault="00441504" w:rsidP="009E1925">
      <w:pPr>
        <w:pStyle w:val="NormalWeb"/>
        <w:spacing w:before="0" w:beforeAutospacing="0" w:after="0" w:afterAutospacing="0"/>
        <w:jc w:val="both"/>
        <w:rPr>
          <w:sz w:val="22"/>
          <w:szCs w:val="22"/>
        </w:rPr>
      </w:pPr>
      <w:r w:rsidRPr="009E1925">
        <w:rPr>
          <w:rStyle w:val="Textoennegrita"/>
          <w:sz w:val="22"/>
          <w:szCs w:val="22"/>
        </w:rPr>
        <w:t>Objetivos:</w:t>
      </w:r>
      <w:r w:rsidRPr="009E1925">
        <w:rPr>
          <w:sz w:val="22"/>
          <w:szCs w:val="22"/>
        </w:rPr>
        <w:t xml:space="preserve"> La </w:t>
      </w:r>
      <w:proofErr w:type="spellStart"/>
      <w:r w:rsidRPr="009E1925">
        <w:rPr>
          <w:sz w:val="22"/>
          <w:szCs w:val="22"/>
        </w:rPr>
        <w:t>infectobesidad</w:t>
      </w:r>
      <w:proofErr w:type="spellEnd"/>
      <w:r w:rsidRPr="009E1925">
        <w:rPr>
          <w:sz w:val="22"/>
          <w:szCs w:val="22"/>
        </w:rPr>
        <w:t xml:space="preserve"> u obesidad de origen infeccioso ha adquirido importancia en los últimos años, principalmente la relacionada a infección por el virus adipogénico adenovirus 36 (Ad36). En humanos, reportes previos sugieren que el Ad36 se asocia a obesidad, sin embargo existe escasa información respecto de los mecanismos implicados en este proceso. El objetivo de este trabajo fue investigar la prevalencia de la infección por Ad36 y su relación con la obesidad en nuestra población, así como evaluar su influencia sobre la expresión de microRNAs (miRNAs) implicados en la regulación del proceso adipogénico en tejido adiposo visceral (TAV) de individuos obesos.</w:t>
      </w:r>
    </w:p>
    <w:p w:rsidR="003C1416" w:rsidRPr="009E1925" w:rsidRDefault="00441504" w:rsidP="009E1925">
      <w:pPr>
        <w:pStyle w:val="NormalWeb"/>
        <w:spacing w:before="0" w:beforeAutospacing="0" w:after="0" w:afterAutospacing="0"/>
        <w:jc w:val="both"/>
        <w:rPr>
          <w:sz w:val="22"/>
          <w:szCs w:val="22"/>
        </w:rPr>
      </w:pPr>
      <w:r w:rsidRPr="009E1925">
        <w:rPr>
          <w:rStyle w:val="Textoennegrita"/>
          <w:sz w:val="22"/>
          <w:szCs w:val="22"/>
        </w:rPr>
        <w:t>Diseño experimental</w:t>
      </w:r>
      <w:r w:rsidRPr="009E1925">
        <w:rPr>
          <w:sz w:val="22"/>
          <w:szCs w:val="22"/>
        </w:rPr>
        <w:t>: Estudio de casos y controles.</w:t>
      </w:r>
    </w:p>
    <w:p w:rsidR="003C1416" w:rsidRPr="009E1925" w:rsidRDefault="00441504" w:rsidP="009E1925">
      <w:pPr>
        <w:pStyle w:val="NormalWeb"/>
        <w:spacing w:before="0" w:beforeAutospacing="0" w:after="0" w:afterAutospacing="0"/>
        <w:jc w:val="both"/>
        <w:rPr>
          <w:sz w:val="22"/>
          <w:szCs w:val="22"/>
        </w:rPr>
      </w:pPr>
      <w:r w:rsidRPr="009E1925">
        <w:rPr>
          <w:rStyle w:val="Textoennegrita"/>
          <w:sz w:val="22"/>
          <w:szCs w:val="22"/>
        </w:rPr>
        <w:t>Sujetos y métodos</w:t>
      </w:r>
      <w:r w:rsidRPr="009E1925">
        <w:rPr>
          <w:sz w:val="22"/>
          <w:szCs w:val="22"/>
        </w:rPr>
        <w:t>: Fueron seleccionados 94 individuos obesos (OB; IMC ≥30 Kg/m</w:t>
      </w:r>
      <w:r w:rsidRPr="009E1925">
        <w:rPr>
          <w:sz w:val="22"/>
          <w:szCs w:val="22"/>
          <w:vertAlign w:val="superscript"/>
        </w:rPr>
        <w:t>2</w:t>
      </w:r>
      <w:r w:rsidRPr="009E1925">
        <w:rPr>
          <w:sz w:val="22"/>
          <w:szCs w:val="22"/>
        </w:rPr>
        <w:t>) y 84 controles no-obesos (no-OB; IMC 18,5-24,9 Kg/m</w:t>
      </w:r>
      <w:r w:rsidRPr="009E1925">
        <w:rPr>
          <w:sz w:val="22"/>
          <w:szCs w:val="22"/>
          <w:vertAlign w:val="superscript"/>
        </w:rPr>
        <w:t>2</w:t>
      </w:r>
      <w:r w:rsidRPr="009E1925">
        <w:rPr>
          <w:sz w:val="22"/>
          <w:szCs w:val="22"/>
        </w:rPr>
        <w:t xml:space="preserve">). Fueron obtenidas medidas antropométricas para clasificación del estado nutricional y muestras sanguíneas para la determinación de serología contra Ad36 y parámetros bioquímicos. Un subgrupo de individuos OB fue sometido a cirugía bariátrica (n=29), donde fue obtenida biopsia de TAV. Fue también obtenida biopsia de TAV de individuos no-OB que fueron sometidos a colecistectomía (n=20). La seropositividad contra Ad36 fue evaluada por ensayo de </w:t>
      </w:r>
      <w:proofErr w:type="spellStart"/>
      <w:r w:rsidRPr="009E1925">
        <w:rPr>
          <w:sz w:val="22"/>
          <w:szCs w:val="22"/>
        </w:rPr>
        <w:t>inmunoabsorción</w:t>
      </w:r>
      <w:proofErr w:type="spellEnd"/>
      <w:r w:rsidRPr="009E1925">
        <w:rPr>
          <w:sz w:val="22"/>
          <w:szCs w:val="22"/>
        </w:rPr>
        <w:t xml:space="preserve"> ligado a enzima (ELISA). La expresión de los genes que codifican para leptina (</w:t>
      </w:r>
      <w:r w:rsidRPr="009E1925">
        <w:rPr>
          <w:rStyle w:val="nfasis"/>
          <w:sz w:val="22"/>
          <w:szCs w:val="22"/>
        </w:rPr>
        <w:t>LEP</w:t>
      </w:r>
      <w:r w:rsidRPr="009E1925">
        <w:rPr>
          <w:sz w:val="22"/>
          <w:szCs w:val="22"/>
        </w:rPr>
        <w:t>), adiponectina (</w:t>
      </w:r>
      <w:r w:rsidRPr="009E1925">
        <w:rPr>
          <w:rStyle w:val="nfasis"/>
          <w:sz w:val="22"/>
          <w:szCs w:val="22"/>
        </w:rPr>
        <w:t>ADIPOQ</w:t>
      </w:r>
      <w:r w:rsidRPr="009E1925">
        <w:rPr>
          <w:sz w:val="22"/>
          <w:szCs w:val="22"/>
        </w:rPr>
        <w:t xml:space="preserve">) y </w:t>
      </w:r>
      <w:proofErr w:type="spellStart"/>
      <w:r w:rsidRPr="009E1925">
        <w:rPr>
          <w:sz w:val="22"/>
          <w:szCs w:val="22"/>
        </w:rPr>
        <w:t>PPARγ</w:t>
      </w:r>
      <w:proofErr w:type="spellEnd"/>
      <w:r w:rsidRPr="009E1925">
        <w:rPr>
          <w:sz w:val="22"/>
          <w:szCs w:val="22"/>
        </w:rPr>
        <w:t xml:space="preserve"> (</w:t>
      </w:r>
      <w:r w:rsidRPr="009E1925">
        <w:rPr>
          <w:rStyle w:val="nfasis"/>
          <w:sz w:val="22"/>
          <w:szCs w:val="22"/>
        </w:rPr>
        <w:t>PPARG</w:t>
      </w:r>
      <w:r w:rsidRPr="009E1925">
        <w:rPr>
          <w:sz w:val="22"/>
          <w:szCs w:val="22"/>
        </w:rPr>
        <w:t xml:space="preserve">), así como la expresión de los miRNAs miR-17, miR-155, miR-130, miR-210 y miR-27a fue evaluada a través de qPCR utilizando ensayos </w:t>
      </w:r>
      <w:proofErr w:type="spellStart"/>
      <w:r w:rsidRPr="009E1925">
        <w:rPr>
          <w:sz w:val="22"/>
          <w:szCs w:val="22"/>
        </w:rPr>
        <w:t>Taqman</w:t>
      </w:r>
      <w:proofErr w:type="spellEnd"/>
      <w:r w:rsidRPr="009E1925">
        <w:rPr>
          <w:sz w:val="22"/>
          <w:szCs w:val="22"/>
        </w:rPr>
        <w:t xml:space="preserve">. </w:t>
      </w:r>
    </w:p>
    <w:p w:rsidR="003C1416" w:rsidRPr="009E1925" w:rsidRDefault="00441504" w:rsidP="009E1925">
      <w:pPr>
        <w:pStyle w:val="NormalWeb"/>
        <w:spacing w:before="0" w:beforeAutospacing="0" w:after="0" w:afterAutospacing="0"/>
        <w:jc w:val="both"/>
        <w:rPr>
          <w:sz w:val="22"/>
          <w:szCs w:val="22"/>
        </w:rPr>
      </w:pPr>
      <w:r w:rsidRPr="009E1925">
        <w:rPr>
          <w:rStyle w:val="Textoennegrita"/>
          <w:sz w:val="22"/>
          <w:szCs w:val="22"/>
        </w:rPr>
        <w:t>Resultados</w:t>
      </w:r>
      <w:r w:rsidRPr="009E1925">
        <w:rPr>
          <w:sz w:val="22"/>
          <w:szCs w:val="22"/>
        </w:rPr>
        <w:t xml:space="preserve">: Fue observada mayor prevalencia de seropositividad contra Ad36 en el grupo OB comparado con individuos controles (OB: 50% vs no-OB: 26%; OR: 2,82; 95%IC: 1,50-5,30; p=0,001). La infección previa no afectó los parámetros bioquímicos en el grupo OB, mientras que individuos no-OB mostraron menores concentraciones de triglicéridos y VLDL-c (p=0,018), así como una tendencia a menor glicemia (p=0,066). Sujetos OB presentaron mayor expresión de </w:t>
      </w:r>
      <w:r w:rsidRPr="009E1925">
        <w:rPr>
          <w:rStyle w:val="nfasis"/>
          <w:sz w:val="22"/>
          <w:szCs w:val="22"/>
        </w:rPr>
        <w:t>LEP</w:t>
      </w:r>
      <w:r w:rsidRPr="009E1925">
        <w:rPr>
          <w:sz w:val="22"/>
          <w:szCs w:val="22"/>
        </w:rPr>
        <w:t xml:space="preserve"> y menor expresión de </w:t>
      </w:r>
      <w:r w:rsidRPr="009E1925">
        <w:rPr>
          <w:rStyle w:val="nfasis"/>
          <w:sz w:val="22"/>
          <w:szCs w:val="22"/>
        </w:rPr>
        <w:t>ADIPOQ</w:t>
      </w:r>
      <w:r w:rsidRPr="009E1925">
        <w:rPr>
          <w:sz w:val="22"/>
          <w:szCs w:val="22"/>
        </w:rPr>
        <w:t xml:space="preserve">, así como menor expresión de miR-155 y miR-27a comparados con sujetos no-OB (p&lt;0,05). Individuos seropositivos para Ad36 presentaron expresión aumentada de </w:t>
      </w:r>
      <w:r w:rsidRPr="009E1925">
        <w:rPr>
          <w:rStyle w:val="nfasis"/>
          <w:sz w:val="22"/>
          <w:szCs w:val="22"/>
        </w:rPr>
        <w:t>PPARG</w:t>
      </w:r>
      <w:r w:rsidRPr="009E1925">
        <w:rPr>
          <w:sz w:val="22"/>
          <w:szCs w:val="22"/>
        </w:rPr>
        <w:t xml:space="preserve"> comparado con individuos sin infección previa (p=0,049), mientras que la seropositividad fue también relacionada con expresión aumentada del miR-17 (p=0,045), así como una tendencia a menor expresión de miR-155 (p=0,11) y miR27a (p=0,095). </w:t>
      </w:r>
    </w:p>
    <w:p w:rsidR="003C1416" w:rsidRPr="009E1925" w:rsidRDefault="00441504" w:rsidP="009E1925">
      <w:pPr>
        <w:pStyle w:val="NormalWeb"/>
        <w:spacing w:before="0" w:beforeAutospacing="0" w:after="0" w:afterAutospacing="0"/>
        <w:jc w:val="both"/>
        <w:rPr>
          <w:sz w:val="22"/>
          <w:szCs w:val="22"/>
        </w:rPr>
      </w:pPr>
      <w:r w:rsidRPr="009E1925">
        <w:rPr>
          <w:rStyle w:val="Textoennegrita"/>
          <w:sz w:val="22"/>
          <w:szCs w:val="22"/>
        </w:rPr>
        <w:t>Conclusiones</w:t>
      </w:r>
      <w:r w:rsidRPr="009E1925">
        <w:rPr>
          <w:sz w:val="22"/>
          <w:szCs w:val="22"/>
        </w:rPr>
        <w:t xml:space="preserve">: Nuestros resultados demuestran que individuos de nuestra población que han sido previamente expuestos a infección por Ad36 tienen mayor chance de ser obesos y que la modulación de la expresión de </w:t>
      </w:r>
      <w:r w:rsidRPr="009E1925">
        <w:rPr>
          <w:rStyle w:val="nfasis"/>
          <w:sz w:val="22"/>
          <w:szCs w:val="22"/>
        </w:rPr>
        <w:t>PPARG</w:t>
      </w:r>
      <w:r w:rsidRPr="009E1925">
        <w:rPr>
          <w:sz w:val="22"/>
          <w:szCs w:val="22"/>
        </w:rPr>
        <w:t xml:space="preserve"> y de miRNAs que participan del proceso adipogénico en TAV son un potencial mecanismo de acción del virus para ejercer su efecto adipogénico. El estudio de la </w:t>
      </w:r>
      <w:proofErr w:type="spellStart"/>
      <w:r w:rsidRPr="009E1925">
        <w:rPr>
          <w:sz w:val="22"/>
          <w:szCs w:val="22"/>
        </w:rPr>
        <w:t>infectobesidad</w:t>
      </w:r>
      <w:proofErr w:type="spellEnd"/>
      <w:r w:rsidRPr="009E1925">
        <w:rPr>
          <w:sz w:val="22"/>
          <w:szCs w:val="22"/>
        </w:rPr>
        <w:t xml:space="preserve"> y sus mecanismos requiere ser profundizado.</w:t>
      </w:r>
    </w:p>
    <w:p w:rsidR="00441504" w:rsidRPr="009E1925" w:rsidRDefault="00441504" w:rsidP="009E1925">
      <w:pPr>
        <w:spacing w:after="0" w:line="240" w:lineRule="auto"/>
        <w:jc w:val="both"/>
        <w:rPr>
          <w:rFonts w:ascii="Times New Roman" w:eastAsia="Times New Roman" w:hAnsi="Times New Roman" w:cs="Times New Roman"/>
        </w:rPr>
      </w:pPr>
      <w:r w:rsidRPr="009E1925">
        <w:rPr>
          <w:rFonts w:ascii="Times New Roman" w:eastAsia="Times New Roman" w:hAnsi="Times New Roman" w:cs="Times New Roman"/>
          <w:b/>
          <w:bCs/>
        </w:rPr>
        <w:t xml:space="preserve">Financiamiento: </w:t>
      </w:r>
      <w:r w:rsidRPr="009E1925">
        <w:rPr>
          <w:rFonts w:ascii="Times New Roman" w:eastAsia="Times New Roman" w:hAnsi="Times New Roman" w:cs="Times New Roman"/>
        </w:rPr>
        <w:t xml:space="preserve">FONDECYT 11150445 </w:t>
      </w:r>
    </w:p>
    <w:sectPr w:rsidR="00441504" w:rsidRPr="009E1925" w:rsidSect="003C141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11458"/>
    <w:rsid w:val="003C1416"/>
    <w:rsid w:val="00441504"/>
    <w:rsid w:val="005C5212"/>
    <w:rsid w:val="00993665"/>
    <w:rsid w:val="009E1925"/>
    <w:rsid w:val="00A11458"/>
    <w:rsid w:val="00D65F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1416"/>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3C1416"/>
    <w:rPr>
      <w:b/>
      <w:bCs/>
    </w:rPr>
  </w:style>
  <w:style w:type="character" w:styleId="nfasis">
    <w:name w:val="Emphasis"/>
    <w:basedOn w:val="Fuentedeprrafopredeter"/>
    <w:uiPriority w:val="20"/>
    <w:qFormat/>
    <w:rsid w:val="003C14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2018-08-07T21:19:00Z</cp:lastPrinted>
  <dcterms:created xsi:type="dcterms:W3CDTF">2018-08-07T21:19:00Z</dcterms:created>
  <dcterms:modified xsi:type="dcterms:W3CDTF">2018-09-30T03:08:00Z</dcterms:modified>
</cp:coreProperties>
</file>